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224790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217170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Kezar Life Sciences,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001-38542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47-3366145</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4000 Shoreline Court, Suite 300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822-5600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40" w:type="dxa"/>
            <w:vAlign w:val="bottom"/>
          </w:tcPr>
          <w:p>
            <w:pPr>
              <w:spacing w:after="0"/>
              <w:rPr>
                <w:sz w:val="18"/>
                <w:szCs w:val="18"/>
                <w:color w:val="auto"/>
              </w:rPr>
            </w:pPr>
          </w:p>
        </w:tc>
      </w:tr>
      <w:tr>
        <w:trPr>
          <w:trHeight w:val="245"/>
        </w:trPr>
        <w:tc>
          <w:tcPr>
            <w:tcW w:w="4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00" w:type="dxa"/>
            <w:vAlign w:val="bottom"/>
          </w:tcPr>
          <w:p>
            <w:pPr>
              <w:spacing w:after="0"/>
              <w:rPr>
                <w:sz w:val="17"/>
                <w:szCs w:val="17"/>
                <w:color w:val="auto"/>
              </w:rPr>
            </w:pPr>
          </w:p>
        </w:tc>
        <w:tc>
          <w:tcPr>
            <w:tcW w:w="1980" w:type="dxa"/>
            <w:vAlign w:val="bottom"/>
            <w:tcBorders>
              <w:top w:val="single" w:sz="8" w:color="auto"/>
            </w:tcBorders>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KZR</w:t>
            </w:r>
          </w:p>
        </w:tc>
        <w:tc>
          <w:tcPr>
            <w:tcW w:w="100" w:type="dxa"/>
            <w:vAlign w:val="bottom"/>
          </w:tcPr>
          <w:p>
            <w:pPr>
              <w:spacing w:after="0"/>
              <w:rPr>
                <w:sz w:val="17"/>
                <w:szCs w:val="17"/>
                <w:color w:val="auto"/>
              </w:rPr>
            </w:pPr>
          </w:p>
        </w:tc>
        <w:tc>
          <w:tcPr>
            <w:tcW w:w="45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tab/>
        <w:t>Completion of Acquisition or Disposition of Assets.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As previously disclosed by Kezar Life Sciences,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its Current Report on Form 8-K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March 30, 2026, the Company entered into an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Aurinia Pharma U.S.,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Aurinia</w:t>
      </w:r>
      <w:r>
        <w:rPr>
          <w:rFonts w:ascii="Times New Roman" w:cs="Times New Roman" w:eastAsia="Times New Roman" w:hAnsi="Times New Roman"/>
          <w:sz w:val="18"/>
          <w:szCs w:val="18"/>
          <w:color w:val="auto"/>
        </w:rPr>
        <w:t>”), Aurinia Merger Sub, Inc., a Delaware corporation and a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b w:val="1"/>
          <w:bCs w:val="1"/>
          <w:i w:val="1"/>
          <w:iCs w:val="1"/>
          <w:color w:val="auto"/>
        </w:rPr>
        <w:t>Buyer Entities</w:t>
      </w:r>
      <w:r>
        <w:rPr>
          <w:rFonts w:ascii="Times New Roman" w:cs="Times New Roman" w:eastAsia="Times New Roman" w:hAnsi="Times New Roman"/>
          <w:sz w:val="18"/>
          <w:szCs w:val="18"/>
          <w:color w:val="auto"/>
        </w:rPr>
        <w:t>”), and, solely for purposes of Section 10.13 of the Merger Agreement, Aurinia Pharmaceuticals Inc., a company amalgamated under the laws of the Province of Alberta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 and the parent entity of Parent.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on May 11, 2026, Parent completed a tender offer to purchase all of the Company’s outstanding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par value $0.001 per share, in exchange for (i) $6.955 per Share, payable in cash, without interest (such amount, or any different amount per Share paid pursuant to the Offer, the “</w:t>
      </w:r>
      <w:r>
        <w:rPr>
          <w:rFonts w:ascii="Times New Roman" w:cs="Times New Roman" w:eastAsia="Times New Roman" w:hAnsi="Times New Roman"/>
          <w:sz w:val="18"/>
          <w:szCs w:val="18"/>
          <w:b w:val="1"/>
          <w:bCs w:val="1"/>
          <w:i w:val="1"/>
          <w:iCs w:val="1"/>
          <w:color w:val="auto"/>
        </w:rPr>
        <w:t>Cash Amount</w:t>
      </w:r>
      <w:r>
        <w:rPr>
          <w:rFonts w:ascii="Times New Roman" w:cs="Times New Roman" w:eastAsia="Times New Roman" w:hAnsi="Times New Roman"/>
          <w:sz w:val="18"/>
          <w:szCs w:val="18"/>
          <w:color w:val="auto"/>
        </w:rPr>
        <w:t>”), plus (ii) one contingent value right per Share (each, a “</w:t>
      </w:r>
      <w:r>
        <w:rPr>
          <w:rFonts w:ascii="Times New Roman" w:cs="Times New Roman" w:eastAsia="Times New Roman" w:hAnsi="Times New Roman"/>
          <w:sz w:val="18"/>
          <w:szCs w:val="18"/>
          <w:b w:val="1"/>
          <w:bCs w:val="1"/>
          <w:i w:val="1"/>
          <w:iCs w:val="1"/>
          <w:color w:val="auto"/>
        </w:rPr>
        <w:t>CVR</w:t>
      </w:r>
      <w:r>
        <w:rPr>
          <w:rFonts w:ascii="Times New Roman" w:cs="Times New Roman" w:eastAsia="Times New Roman" w:hAnsi="Times New Roman"/>
          <w:sz w:val="18"/>
          <w:szCs w:val="18"/>
          <w:color w:val="auto"/>
        </w:rPr>
        <w:t>”), which represents the right to receive certain payments in cash in accordance with the terms and subject to the conditions of the contingent value rights agreement (the “</w:t>
      </w:r>
      <w:r>
        <w:rPr>
          <w:rFonts w:ascii="Times New Roman" w:cs="Times New Roman" w:eastAsia="Times New Roman" w:hAnsi="Times New Roman"/>
          <w:sz w:val="18"/>
          <w:szCs w:val="18"/>
          <w:b w:val="1"/>
          <w:bCs w:val="1"/>
          <w:i w:val="1"/>
          <w:iCs w:val="1"/>
          <w:color w:val="auto"/>
        </w:rPr>
        <w:t>CVR Agreement</w:t>
      </w:r>
      <w:r>
        <w:rPr>
          <w:rFonts w:ascii="Times New Roman" w:cs="Times New Roman" w:eastAsia="Times New Roman" w:hAnsi="Times New Roman"/>
          <w:sz w:val="18"/>
          <w:szCs w:val="18"/>
          <w:color w:val="auto"/>
        </w:rPr>
        <w:t>”) dated May [•], 2026, by and among Ultimate Parent, the Buyer Entities, Fortis Advisors LLC, a Delaware limited liability company, as representative and attorney in fact of the CVR holders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and Broadridge Corporate Issuer Solutions, LLC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(the Cash Amount plus one CVR, together, the “</w:t>
      </w:r>
      <w:r>
        <w:rPr>
          <w:rFonts w:ascii="Times New Roman" w:cs="Times New Roman" w:eastAsia="Times New Roman" w:hAnsi="Times New Roman"/>
          <w:sz w:val="18"/>
          <w:szCs w:val="18"/>
          <w:b w:val="1"/>
          <w:bCs w:val="1"/>
          <w:i w:val="1"/>
          <w:iCs w:val="1"/>
          <w:color w:val="auto"/>
        </w:rPr>
        <w:t>Offer Price</w:t>
      </w:r>
      <w:r>
        <w:rPr>
          <w:rFonts w:ascii="Times New Roman" w:cs="Times New Roman" w:eastAsia="Times New Roman" w:hAnsi="Times New Roman"/>
          <w:sz w:val="18"/>
          <w:szCs w:val="18"/>
          <w:color w:val="auto"/>
        </w:rPr>
        <w:t>”), in each case, subject to and in accordance with the terms and conditions set forth in the Offer to Purchase, dated April 13, 2026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and in the related Letter of Transmittal the “</w:t>
      </w:r>
      <w:r>
        <w:rPr>
          <w:rFonts w:ascii="Times New Roman" w:cs="Times New Roman" w:eastAsia="Times New Roman" w:hAnsi="Times New Roman"/>
          <w:sz w:val="18"/>
          <w:szCs w:val="18"/>
          <w:b w:val="1"/>
          <w:bCs w:val="1"/>
          <w:i w:val="1"/>
          <w:iCs w:val="1"/>
          <w:color w:val="auto"/>
        </w:rPr>
        <w:t>Letter of Transmittal</w:t>
      </w:r>
      <w:r>
        <w:rPr>
          <w:rFonts w:ascii="Times New Roman" w:cs="Times New Roman" w:eastAsia="Times New Roman" w:hAnsi="Times New Roman"/>
          <w:sz w:val="18"/>
          <w:szCs w:val="18"/>
          <w:color w:val="auto"/>
        </w:rPr>
        <w:t>,” which, together with the Offer to Purchase constituted the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 and related withdrawal rights expired as scheduled at one minute after 11:59 p.m. Eastern Time on Friday, May 8, 2026 (such date and time, the “</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and the Offer was not further extended. According to Broadridge Corporate Issuer Solutions, LLC, the depositary for the Offer, as of the Expiration Time, a total of 5,927,580 Shares had been validly tendered, and not validly withdrawn, representing approximately 80.2% of the outstanding Shares as of the Expiration Time. The number of Shares validly tendered and not validly withdrawn pursuant to the Offer satisfied the Minimum Tender Condition (as defined in the Merger Agreement). All other conditions to the Offer were satisfied and Parent accepted for payment all Shares validly tendered (and not validly withdrawn) prior to the expiration of the Offer.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11, 2026, Merger Sub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pursuant to which the separate corporate existence of Merger Sub ceased and the Company continued as the surviving corporation in the Merger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and a wholly owned subsidiary of Parent. The Merger was completed pursuant to Section 251(h)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with no stockholder vote required. At the effective time of the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outstanding Share (other than (i) Shares owned by the Company (or held in the treasury of the Company), Parent, Merger Sub or any other subsidiary of Parent and (ii) Shares that are held by stockholders who are entitled to, and properly demanded, appraisal rights in accordance with Section 262 of the DGCL) was cancelled and converted into the right to receive the Offer Price from the Buyer Entities without interest, subject to any applicable withholding taxes.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terms of the Merger Agreement, at the Effective Time, by virtue of the Merger and without any action on the part of the holders,</w:t>
      </w:r>
    </w:p>
    <w:p>
      <w:pPr>
        <w:spacing w:after="0" w:line="221" w:lineRule="exact"/>
        <w:rPr>
          <w:sz w:val="20"/>
          <w:szCs w:val="20"/>
          <w:color w:val="auto"/>
        </w:rPr>
      </w:pPr>
    </w:p>
    <w:p>
      <w:pPr>
        <w:jc w:val="both"/>
        <w:ind w:left="66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(each, a “</w:t>
      </w:r>
      <w:r>
        <w:rPr>
          <w:rFonts w:ascii="Times New Roman" w:cs="Times New Roman" w:eastAsia="Times New Roman" w:hAnsi="Times New Roman"/>
          <w:sz w:val="18"/>
          <w:szCs w:val="18"/>
          <w:b w:val="1"/>
          <w:bCs w:val="1"/>
          <w:i w:val="1"/>
          <w:iCs w:val="1"/>
          <w:color w:val="auto"/>
        </w:rPr>
        <w:t>Company Option</w:t>
      </w:r>
      <w:r>
        <w:rPr>
          <w:rFonts w:ascii="Times New Roman" w:cs="Times New Roman" w:eastAsia="Times New Roman" w:hAnsi="Times New Roman"/>
          <w:sz w:val="18"/>
          <w:szCs w:val="18"/>
          <w:color w:val="auto"/>
        </w:rPr>
        <w:t>”) granted under a Company equity plan, whether or not then vested or exercisable, became fully vested. At the Effective Time, each such Company Option with a per-share exercise price less than the Cash Amount (each, an “</w:t>
      </w:r>
      <w:r>
        <w:rPr>
          <w:rFonts w:ascii="Times New Roman" w:cs="Times New Roman" w:eastAsia="Times New Roman" w:hAnsi="Times New Roman"/>
          <w:sz w:val="18"/>
          <w:szCs w:val="18"/>
          <w:b w:val="1"/>
          <w:bCs w:val="1"/>
          <w:i w:val="1"/>
          <w:iCs w:val="1"/>
          <w:color w:val="auto"/>
        </w:rPr>
        <w:t>In-the-Money Option</w:t>
      </w:r>
      <w:r>
        <w:rPr>
          <w:rFonts w:ascii="Times New Roman" w:cs="Times New Roman" w:eastAsia="Times New Roman" w:hAnsi="Times New Roman"/>
          <w:sz w:val="18"/>
          <w:szCs w:val="18"/>
          <w:color w:val="auto"/>
        </w:rPr>
        <w:t>”) was automatically cancelled and converted into the right to receive (A) an amount in cash, without interest, equal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obtained by multiplying (x) the excess of the Cash Amount over the exercise price per Share underlying such Company Option at the Effective Time by (y) the number of Shares underlying such In-the-Money Option, subject to the terms and conditions specified in the Merger Agreement and (B) one CVR in respect of each Share underlying such In-the-Money Option; and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that was outstanding and unexercised as of immediately prior to the Effective Time and that was not an In-the-Money Option (an “</w:t>
      </w:r>
      <w:r>
        <w:rPr>
          <w:rFonts w:ascii="Times New Roman" w:cs="Times New Roman" w:eastAsia="Times New Roman" w:hAnsi="Times New Roman"/>
          <w:sz w:val="18"/>
          <w:szCs w:val="18"/>
          <w:b w:val="1"/>
          <w:bCs w:val="1"/>
          <w:i w:val="1"/>
          <w:iCs w:val="1"/>
          <w:color w:val="auto"/>
        </w:rPr>
        <w:t>Out-of-the-Money Option</w:t>
      </w:r>
      <w:r>
        <w:rPr>
          <w:rFonts w:ascii="Times New Roman" w:cs="Times New Roman" w:eastAsia="Times New Roman" w:hAnsi="Times New Roman"/>
          <w:sz w:val="18"/>
          <w:szCs w:val="18"/>
          <w:color w:val="auto"/>
        </w:rPr>
        <w:t>”) was cancelled and ceased to exist, and no consideration will be delivered in exchange for such Out-of-the-Money Option.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Effective Time, there were no outstanding Company restricted stock unit awards.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immediately prior to the Effective Time, the Company’s 2018 Employee Stock Purchase Plan was terminated.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Merger Agreement, the CVR Agreement, and the transactions contemplated thereby does not purport to be complete and is qualified in its entirety by reference to the full text of the Merger Agreement attached as Exhibit 2.1 to the Current Report on Form 8-K filed by the Company on March 30, 2026, which is incorporated herein by reference, and the full text of the CVR Agreement attached as Exhibit 10.1 to this Current Report on Form 8-K .</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Items 5.01 and 5.03 of this Current Report on Form 8-K is incorporated by reference into this Item 2.01.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tab/>
        <w:t>Notice of Delisting or Failure to Satisfy a Continued Listing Rule or Standard; Transfer of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herein by reference into this Item 3.01.</w:t>
      </w:r>
    </w:p>
    <w:p>
      <w:pPr>
        <w:spacing w:after="0" w:line="221" w:lineRule="exact"/>
        <w:rPr>
          <w:sz w:val="20"/>
          <w:szCs w:val="20"/>
          <w:color w:val="auto"/>
        </w:rPr>
      </w:pPr>
    </w:p>
    <w:p>
      <w:pPr>
        <w:jc w:val="both"/>
        <w:ind w:right="20" w:firstLine="324"/>
        <w:spacing w:after="0" w:line="263" w:lineRule="auto"/>
        <w:rPr>
          <w:sz w:val="20"/>
          <w:szCs w:val="20"/>
          <w:color w:val="auto"/>
        </w:rPr>
      </w:pPr>
      <w:r>
        <w:rPr>
          <w:rFonts w:ascii="Times New Roman" w:cs="Times New Roman" w:eastAsia="Times New Roman" w:hAnsi="Times New Roman"/>
          <w:sz w:val="18"/>
          <w:szCs w:val="18"/>
          <w:color w:val="auto"/>
        </w:rPr>
        <w:t>In connection with the consummation of the Offer and the Merger, the Company (i) notified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of the consummation of the Merger and (ii) requested that Nasdaq (A) suspend trading of the Shares effective before the opening of trading on May 11, 2026 and</w:t>
      </w:r>
    </w:p>
    <w:p>
      <w:pPr>
        <w:spacing w:after="0" w:line="1" w:lineRule="exact"/>
        <w:rPr>
          <w:sz w:val="20"/>
          <w:szCs w:val="20"/>
          <w:color w:val="auto"/>
        </w:rPr>
      </w:pPr>
    </w:p>
    <w:p>
      <w:pPr>
        <w:jc w:val="both"/>
        <w:ind w:firstLine="8"/>
        <w:spacing w:after="0" w:line="253" w:lineRule="auto"/>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a Notification of Removal from Listing and/or Registration on Form 25 to effect the delisting of all Shares from Nasdaq and the deregistration of such Shares under Section 12(b)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In addition, the Surviving Corporation intends to file a Certification and Notice of Termination of Registration on Form 15 with the SEC requesting the termination of registration of the Shares under Section 12(g) of the Exchange Act and the suspension of reporting obligations under Section 13 and 15(d) of the Exchange Act with respect to the Shares.</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 to Rights of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Items 2.01, 3.01, 5.01 and 5.03 of this Current Report on Form 8-K is incorporated by reference into this Item 3.03.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5.01</w:t>
        <w:tab/>
        <w:t>Changes in Control of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Items 2.01, 5.02 and 5.03 of this Current Report on Form 8-K is incorporated by reference into this Item 5.01.</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Offer and the Merger, there was a change in control of the Company and the Company became a wholly owned subsidiary of Parent.</w:t>
      </w:r>
    </w:p>
    <w:p>
      <w:pPr>
        <w:spacing w:after="0" w:line="158" w:lineRule="exact"/>
        <w:rPr>
          <w:sz w:val="20"/>
          <w:szCs w:val="20"/>
          <w:color w:val="auto"/>
        </w:rPr>
      </w:pPr>
    </w:p>
    <w:p>
      <w:pPr>
        <w:jc w:val="both"/>
        <w:ind w:left="980" w:right="2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Certain Officers; Election of Directors; Appointment of Certain Officers; Compensatory Arrangements of Certain Officers.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each of John Fowler, Franklin Berger, Graham Cooper, Elizabeth Garner, M.D., Michael Kauffman, M.D., Ph.D., Micki Klearman, M.D. and Courtney Wallace resigned from the board of directors of the Company. These resignations were tendered in connection with the Merger and not as a result of any disagreements between the Company and the resigning individuals on any matters related to the Company’s operations, policies, or practices.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on April 3, 2026, Christopher J. Kirk, Ph.D., Marc L. Belsky and Mark Schiller entered into separation agreements with the Company. Each officer’s employment with the Company will terminate at the Effective Time. There were no disagreements between any of Mr. Kirk, Mr. Belsky and Mr. Schiller and the Company.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Merger and pursuant to the terms of the Merger Agreement, at the Effective Time, the sole director and officers of Merger Sub immediately prior to the Effective Time became the sole director and officers of the Surviving Corporation. The sole director of Merger Sub immediately prior to the Effective Time was Kevin Tang. The executive officers of Merger Sub immediately prior to the Effective Time were Kevin Tang, Chief Executive Officer, Ryan Cole, Chief Operating Officer, Michael Hearne, Chief Financial Officer, and Stephen Robertson, Chief Legal Officer, Corporate Secretary and Chief Compliance Officer.</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tab/>
        <w:t>Amendments to Articles of Incorporation or Bylaws; Change in Fiscal Year.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Merger Agreement, at the Effective Time, the Company’s certificate of incorporation and bylaws were amended and restated in their entirety, as set forth on Exhibits 3.1 and 3.2, respectively, to this Current Report on Form 8-K and are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10220" w:type="dxa"/>
            <w:vAlign w:val="bottom"/>
          </w:tcPr>
          <w:p>
            <w:pPr>
              <w:spacing w:after="0"/>
              <w:rPr>
                <w:sz w:val="18"/>
                <w:szCs w:val="18"/>
                <w:color w:val="auto"/>
              </w:rPr>
            </w:pPr>
          </w:p>
        </w:tc>
      </w:tr>
      <w:tr>
        <w:trPr>
          <w:trHeight w:val="241"/>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w:t>
            </w: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42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Agreement and Plan of Merger, dated as of March 30, 2026, by and among Kezar Life Sciences, Inc., Aurinia Pharma U.S., Inc., Aurinia</w:t>
            </w:r>
          </w:p>
        </w:tc>
      </w:tr>
      <w:tr>
        <w:trPr>
          <w:trHeight w:val="218"/>
        </w:trPr>
        <w:tc>
          <w:tcPr>
            <w:tcW w:w="3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 Sub, Inc. and, solely for purposes of Section 10.13, Aurinia Pharmaceuticals Inc. (incorporated by reference to Exhibit 2.1 of the</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Report on Form 8-K filed by Kezar Life Sciences, Inc. on March 30, 2026 (File No. 001-38542))</w:t>
            </w:r>
          </w:p>
        </w:tc>
      </w:tr>
      <w:tr>
        <w:trPr>
          <w:trHeight w:val="41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Contingent Value Rights Agreement, dated May 11, 2026, by and among Aurinia Pharmaceuticals Inc., Aurinia Pharma U.S., Inc., Aurinia</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 Sub, Inc., Fortis Advisors LLC and Broadridge Corporate Issuer Solutions, LLC (incorporated herein by reference to Exhibit (d)(4)</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the Schedule TO-T/A filed by Aurnia Pharma U.S., Inc. on May 11, 2026)</w:t>
            </w:r>
          </w:p>
        </w:tc>
      </w:tr>
      <w:tr>
        <w:trPr>
          <w:trHeight w:val="392"/>
        </w:trPr>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3.</w:t>
            </w:r>
            <w:r>
              <w:rPr>
                <w:rFonts w:ascii="Times New Roman" w:cs="Times New Roman" w:eastAsia="Times New Roman" w:hAnsi="Times New Roman"/>
                <w:sz w:val="18"/>
                <w:szCs w:val="18"/>
                <w:u w:val="single" w:color="auto"/>
                <w:color w:val="0000EE"/>
                <w:w w:val="98"/>
              </w:rPr>
              <w:t>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Amended and Restated Certificate of Incorporation of Kezar Life Sciences, Inc.</w:t>
            </w:r>
          </w:p>
        </w:tc>
      </w:tr>
      <w:tr>
        <w:trPr>
          <w:trHeight w:val="412"/>
        </w:trPr>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3.</w:t>
            </w:r>
            <w:r>
              <w:rPr>
                <w:rFonts w:ascii="Times New Roman" w:cs="Times New Roman" w:eastAsia="Times New Roman" w:hAnsi="Times New Roman"/>
                <w:sz w:val="18"/>
                <w:szCs w:val="18"/>
                <w:u w:val="single" w:color="auto"/>
                <w:color w:val="0000EE"/>
                <w:w w:val="98"/>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Amended and Restated Bylaws of Kezar Life Sciences, Inc.</w:t>
            </w: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exhibits and schedules have been omitted pursuant to Item 601(a)(5) or Item 601(b)(2) of Regulation S-K. The Company agrees to</w:t>
      </w:r>
    </w:p>
    <w:p>
      <w:pPr>
        <w:spacing w:after="0" w:line="27"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8"/>
          <w:szCs w:val="18"/>
          <w:color w:val="auto"/>
        </w:rPr>
        <w:t>furnish supplementally a copy of any omitted exhibit or schedule to the SEC upon request; provided, however, that the Company may request confidential treatment pursuant to Rule 24b-2 of the Exchange Act for any schedule so furnished.</w:t>
      </w:r>
    </w:p>
    <w:p>
      <w:pPr>
        <w:spacing w:after="0" w:line="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Kezar Life Sciences, Inc.</w:t>
      </w:r>
    </w:p>
    <w:p>
      <w:pPr>
        <w:spacing w:after="0" w:line="22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 /s/ Christopher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Kirk, Ph.D.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KEZAR LIFE 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corporation is Kezar Life 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Wilmington, New Castle County, Delaware, 19801. The name of its registered agent at such address is The Corporation Trust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Corporation is authorized to issue only one class of stock, to be designated Common Stock. The total number of shares of Common Stock presently authorized is 10,000, each having a par value of $0.001.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5"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A. The management of the business and the conduct of the affairs of the Corporation shall be vested in its Board of Directors (the “</w:t>
      </w:r>
      <w:r>
        <w:rPr>
          <w:rFonts w:ascii="Times New Roman" w:cs="Times New Roman" w:eastAsia="Times New Roman" w:hAnsi="Times New Roman"/>
          <w:sz w:val="18"/>
          <w:szCs w:val="18"/>
          <w:b w:val="1"/>
          <w:bCs w:val="1"/>
          <w:i w:val="1"/>
          <w:i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The number of directors which shall constitute the whole Board of Directors shall be fixed by the Board of Directors in the manner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of the Corporation.</w:t>
      </w:r>
    </w:p>
    <w:p>
      <w:pPr>
        <w:spacing w:after="0" w:line="17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B. The Board of Directors is expressly empowered to adopt, amend or repeal the Bylaws of the Corporation. The stockholders shall also have power to adopt, amend or repeal the Bylaws of the Corporation; provided, however, that, in addition to any vote of the holders of any class or series of stock of the Corporation required by law or by this Amended and Restated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C. Unless and except to the extent that the Bylaws of the Corporation shall so require, the election of directors of the Corporation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Corporation shall provide indemnification as follows:</w:t>
      </w:r>
    </w:p>
    <w:p>
      <w:pPr>
        <w:spacing w:after="0" w:line="229" w:lineRule="exact"/>
        <w:rPr>
          <w:sz w:val="20"/>
          <w:szCs w:val="20"/>
          <w:color w:val="auto"/>
        </w:rPr>
      </w:pPr>
    </w:p>
    <w:p>
      <w:pPr>
        <w:jc w:val="both"/>
        <w:ind w:firstLine="1000"/>
        <w:spacing w:after="0" w:line="252" w:lineRule="auto"/>
        <w:tabs>
          <w:tab w:leader="none" w:pos="11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97" w:lineRule="exact"/>
        <w:rPr>
          <w:rFonts w:ascii="Times New Roman" w:cs="Times New Roman" w:eastAsia="Times New Roman" w:hAnsi="Times New Roman"/>
          <w:sz w:val="18"/>
          <w:szCs w:val="18"/>
          <w:color w:val="auto"/>
        </w:rPr>
      </w:pPr>
    </w:p>
    <w:p>
      <w:pPr>
        <w:jc w:val="both"/>
        <w:ind w:firstLine="1000"/>
        <w:spacing w:after="0" w:line="253" w:lineRule="auto"/>
        <w:tabs>
          <w:tab w:leader="none" w:pos="11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or Suits by or in the Right of the Corporation</w:t>
      </w:r>
      <w:r>
        <w:rPr>
          <w:rFonts w:ascii="Times New Roman" w:cs="Times New Roman" w:eastAsia="Times New Roman" w:hAnsi="Times New Roman"/>
          <w:sz w:val="18"/>
          <w:szCs w:val="18"/>
          <w:color w:val="auto"/>
        </w:rPr>
        <w:t>.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189" w:lineRule="exact"/>
        <w:rPr>
          <w:rFonts w:ascii="Times New Roman" w:cs="Times New Roman" w:eastAsia="Times New Roman" w:hAnsi="Times New Roman"/>
          <w:sz w:val="18"/>
          <w:szCs w:val="18"/>
          <w:color w:val="auto"/>
        </w:rPr>
      </w:pPr>
    </w:p>
    <w:p>
      <w:pPr>
        <w:jc w:val="both"/>
        <w:ind w:firstLine="1000"/>
        <w:spacing w:after="0" w:line="254" w:lineRule="auto"/>
        <w:tabs>
          <w:tab w:leader="none" w:pos="11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of Successful Party</w:t>
      </w:r>
      <w:r>
        <w:rPr>
          <w:rFonts w:ascii="Times New Roman" w:cs="Times New Roman" w:eastAsia="Times New Roman" w:hAnsi="Times New Roman"/>
          <w:sz w:val="18"/>
          <w:szCs w:val="18"/>
          <w:color w:val="auto"/>
        </w:rPr>
        <w:t>. Notwithstanding any other provisions of this Article VI, to the extent that an Indemnitee has been successful, on the merits or otherwise, in defense of any action, suit or proceeding referred to in Sections 1 and 2 of this Article VI,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adjudication that Indemnitee was liable to the Corporation, (iii) a plea of guilty or nolo contendere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w:t>
      </w:r>
    </w:p>
    <w:p>
      <w:pPr>
        <w:spacing w:after="0" w:line="189" w:lineRule="exact"/>
        <w:rPr>
          <w:sz w:val="20"/>
          <w:szCs w:val="20"/>
          <w:color w:val="auto"/>
        </w:rPr>
      </w:pPr>
    </w:p>
    <w:p>
      <w:pPr>
        <w:jc w:val="both"/>
        <w:ind w:firstLine="1000"/>
        <w:spacing w:after="0" w:line="251" w:lineRule="auto"/>
        <w:tabs>
          <w:tab w:leader="none" w:pos="11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Defense of Claim</w:t>
      </w:r>
      <w:r>
        <w:rPr>
          <w:rFonts w:ascii="Times New Roman" w:cs="Times New Roman" w:eastAsia="Times New Roman" w:hAnsi="Times New Roman"/>
          <w:sz w:val="18"/>
          <w:szCs w:val="18"/>
          <w:color w:val="auto"/>
        </w:rPr>
        <w:t>.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VI. The Corporation shall not be entitled, without the consent of Indemnitee, to assume the defense of any claim brought by or in the right of the Corporation or as to which counsel for Indemnitee shall have reasonably made the conclusion provided for in clause</w:t>
      </w:r>
    </w:p>
    <w:p>
      <w:pPr>
        <w:spacing w:after="0" w:line="11" w:lineRule="exact"/>
        <w:rPr>
          <w:rFonts w:ascii="Times New Roman" w:cs="Times New Roman" w:eastAsia="Times New Roman" w:hAnsi="Times New Roman"/>
          <w:sz w:val="18"/>
          <w:szCs w:val="18"/>
          <w:color w:val="auto"/>
        </w:rPr>
      </w:pPr>
    </w:p>
    <w:p>
      <w:pPr>
        <w:jc w:val="both"/>
        <w:ind w:firstLine="8"/>
        <w:spacing w:after="0" w:line="253" w:lineRule="auto"/>
        <w:tabs>
          <w:tab w:leader="none" w:pos="2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Corporation shall not be required to indemnify Indemnitee under this Article VI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88" w:lineRule="exact"/>
        <w:rPr>
          <w:rFonts w:ascii="Times New Roman" w:cs="Times New Roman" w:eastAsia="Times New Roman" w:hAnsi="Times New Roman"/>
          <w:sz w:val="18"/>
          <w:szCs w:val="18"/>
          <w:color w:val="auto"/>
        </w:rPr>
      </w:pPr>
    </w:p>
    <w:p>
      <w:pPr>
        <w:jc w:val="both"/>
        <w:ind w:firstLine="1000"/>
        <w:spacing w:after="0" w:line="253" w:lineRule="auto"/>
        <w:tabs>
          <w:tab w:leader="none" w:pos="11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of Expenses</w:t>
      </w:r>
      <w:r>
        <w:rPr>
          <w:rFonts w:ascii="Times New Roman" w:cs="Times New Roman" w:eastAsia="Times New Roman" w:hAnsi="Times New Roman"/>
          <w:sz w:val="18"/>
          <w:szCs w:val="18"/>
          <w:color w:val="auto"/>
        </w:rPr>
        <w:t>. Subject to the provisions of Section 6 of this Article VI, in the event of any threatened or pending action, suit, proceeding or investigation of which the Corporation receives notice under this Article VI, any expenses (including attorneys’ fees) incurred by or on behalf of an Indemnitee in defending an action, suit, proceeding or investigation or any appeal therefrom shall be paid by the Corporation in advance of the final disposition of such matter; provided, however,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that Indemnitee is not entitled to be indemnified by the Corporation as authorized in this Article VI; and provided further that no such advancement of expenses shall be made under this Article VI if it is determined (in the manner described in Section 6 of this Article VI)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Indemnitee to make such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w:t>
      </w:r>
    </w:p>
    <w:p>
      <w:pPr>
        <w:spacing w:after="0" w:line="189" w:lineRule="exact"/>
        <w:rPr>
          <w:sz w:val="20"/>
          <w:szCs w:val="20"/>
          <w:color w:val="auto"/>
        </w:rPr>
      </w:pPr>
    </w:p>
    <w:p>
      <w:pPr>
        <w:jc w:val="both"/>
        <w:ind w:firstLine="1000"/>
        <w:spacing w:after="0" w:line="253" w:lineRule="auto"/>
        <w:tabs>
          <w:tab w:leader="none" w:pos="1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Indemnification and Advancement of Expenses</w:t>
      </w:r>
      <w:r>
        <w:rPr>
          <w:rFonts w:ascii="Times New Roman" w:cs="Times New Roman" w:eastAsia="Times New Roman" w:hAnsi="Times New Roman"/>
          <w:sz w:val="18"/>
          <w:szCs w:val="18"/>
          <w:color w:val="auto"/>
        </w:rPr>
        <w:t>. In order to obtain indemnification or advancement of expenses pursuant to Section 1, 2, 3 or 5 of this Article VI, an Indemnitee shall submit to the Corporation a written request. Any such advancement of expenses shall be made promptly, and in any event within 60 days after receipt by the Corporation of the written request of Indemnitee, unless (i) the Corporation has assumed the defense pursuant to Section 4 of this Article VI (and none of the circumstances described in Section 4 of this Article VI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VI, as the case may be. Any such indemnification, unless ordered by a court, shall be made with respect to requests under Section 1 or 2 of this Article VI only as authorized in the specific case upon a determination by the Corporation that the indemnification of Indemnitee is proper because Indemnitee has met the applicable standard of conduct set forth in Section 1 or 2 of this Article VI, as the case may be. Such determination shall be made in each instance (a) by a majority vote of the directors of the Corporation consisting of persons who are not at that time parties to the action, suit or proceeding in question (“</w:t>
      </w:r>
      <w:r>
        <w:rPr>
          <w:rFonts w:ascii="Times New Roman" w:cs="Times New Roman" w:eastAsia="Times New Roman" w:hAnsi="Times New Roman"/>
          <w:sz w:val="18"/>
          <w:szCs w:val="18"/>
          <w:b w:val="1"/>
          <w:bCs w:val="1"/>
          <w:i w:val="1"/>
          <w:iCs w:val="1"/>
          <w:color w:val="auto"/>
        </w:rPr>
        <w:t>disinterested directors</w:t>
      </w:r>
      <w:r>
        <w:rPr>
          <w:rFonts w:ascii="Times New Roman" w:cs="Times New Roman" w:eastAsia="Times New Roman" w:hAnsi="Times New Roman"/>
          <w:sz w:val="18"/>
          <w:szCs w:val="18"/>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87" w:lineRule="exact"/>
        <w:rPr>
          <w:rFonts w:ascii="Times New Roman" w:cs="Times New Roman" w:eastAsia="Times New Roman" w:hAnsi="Times New Roman"/>
          <w:sz w:val="18"/>
          <w:szCs w:val="18"/>
          <w:color w:val="auto"/>
        </w:rPr>
      </w:pPr>
    </w:p>
    <w:p>
      <w:pPr>
        <w:jc w:val="both"/>
        <w:ind w:firstLine="1000"/>
        <w:spacing w:after="0" w:line="253" w:lineRule="auto"/>
        <w:tabs>
          <w:tab w:leader="none" w:pos="1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right to indemnification or advancement of expenses as granted by this Article VI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VI that Indemnitee has not met such applicable standard of conduct, shall be a defense to the action or create a presumption that Indemnitee has not met the applicable standard of conduct. In any suit brought by Indemnitee to enforce a right to indemnification, or brought by the Corporation to recover an advancement of expenses pursuant to the terms of an undertaking, the Corporation shall have the burden of proving that Indemnitee is not entitled to be indemnified, or to such advancement of expenses, under this Article VI. Indemnitee’s expenses (including attorneys’ fees) reasonably incurred in connection with successfully establishing Indemnitee’s right to indemnification, in whole or in part, in any such proceeding shall also be indemnified by the Corporation. Notwithstanding the foregoing, in any suit brought by Indemnitee to enforce a right to indemnification hereunder it shall be a defense that the Indemnitee has not met any applicable standard for indemnification set forth in the General Corporation Law of the State of Delaware.</w:t>
      </w:r>
    </w:p>
    <w:p>
      <w:pPr>
        <w:spacing w:after="0" w:line="191" w:lineRule="exact"/>
        <w:rPr>
          <w:rFonts w:ascii="Times New Roman" w:cs="Times New Roman" w:eastAsia="Times New Roman" w:hAnsi="Times New Roman"/>
          <w:sz w:val="18"/>
          <w:szCs w:val="18"/>
          <w:color w:val="auto"/>
        </w:rPr>
      </w:pPr>
    </w:p>
    <w:p>
      <w:pPr>
        <w:jc w:val="both"/>
        <w:ind w:firstLine="1000"/>
        <w:spacing w:after="0" w:line="256" w:lineRule="auto"/>
        <w:tabs>
          <w:tab w:leader="none" w:pos="1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Notwithstanding anything to the contrary in this Article VI, except as set forth in Section 7 of this Article VI, the Corporation shall not indemnify an Indemnitee pursuant to this Article VI in connection with a proceeding (or part thereof) initiated by such Indemnitee unless the initiation thereof was approved by the Board of Directors of the Corporation. Notwithstanding anything to the contrary in this Article VI, the Corporation shall not indemnify an Indemnitee to the extent such Indemnitee is reimbursed from the proceeds of insurance, and in the event the Corporation makes any indemnification payments to an Indemnitee and such Indemnitee is subsequently reimbursed from the proceeds of insurance, such Indemnitee shall promptly refund indemnification payments to the Corporation to the extent of such insurance reimbursement.</w:t>
      </w:r>
    </w:p>
    <w:p>
      <w:pPr>
        <w:spacing w:after="0" w:line="187" w:lineRule="exact"/>
        <w:rPr>
          <w:rFonts w:ascii="Times New Roman" w:cs="Times New Roman" w:eastAsia="Times New Roman" w:hAnsi="Times New Roman"/>
          <w:sz w:val="18"/>
          <w:szCs w:val="18"/>
          <w:color w:val="auto"/>
        </w:rPr>
      </w:pPr>
    </w:p>
    <w:p>
      <w:pPr>
        <w:jc w:val="both"/>
        <w:ind w:firstLine="1000"/>
        <w:spacing w:after="0" w:line="261" w:lineRule="auto"/>
        <w:tabs>
          <w:tab w:leader="none" w:pos="1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Amendment</w:t>
      </w:r>
      <w:r>
        <w:rPr>
          <w:rFonts w:ascii="Times New Roman" w:cs="Times New Roman" w:eastAsia="Times New Roman" w:hAnsi="Times New Roman"/>
          <w:sz w:val="18"/>
          <w:szCs w:val="18"/>
          <w:color w:val="auto"/>
        </w:rPr>
        <w:t>. No amendment, termination or repeal of this Article VI or of the relevant provisions of the General Corporation Law of the State of Delaware or any other applicable laws shall adversely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w:t>
      </w:r>
    </w:p>
    <w:p>
      <w:pPr>
        <w:spacing w:after="0" w:line="189" w:lineRule="exact"/>
        <w:rPr>
          <w:sz w:val="20"/>
          <w:szCs w:val="20"/>
          <w:color w:val="auto"/>
        </w:rPr>
      </w:pPr>
    </w:p>
    <w:p>
      <w:pPr>
        <w:jc w:val="both"/>
        <w:ind w:firstLine="1000"/>
        <w:spacing w:after="0" w:line="254"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The indemnification and advancement of expenses provided by this Article VI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VI shall be deemed to prohibit, and the Corporation is specifically authorized to enter into, agreements with officers and directors providing indemnification rights and procedures different from those set forth in this Article VI.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VI.</w:t>
      </w:r>
    </w:p>
    <w:p>
      <w:pPr>
        <w:spacing w:after="0" w:line="188"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an Indemnitee is entitled under any provision of this Article VI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pacing w:after="0" w:line="187" w:lineRule="exact"/>
        <w:rPr>
          <w:rFonts w:ascii="Times New Roman" w:cs="Times New Roman" w:eastAsia="Times New Roman" w:hAnsi="Times New Roman"/>
          <w:sz w:val="18"/>
          <w:szCs w:val="18"/>
          <w:color w:val="auto"/>
        </w:rPr>
      </w:pPr>
    </w:p>
    <w:p>
      <w:pPr>
        <w:jc w:val="both"/>
        <w:ind w:firstLine="1000"/>
        <w:spacing w:after="0" w:line="261"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p>
    <w:p>
      <w:pPr>
        <w:spacing w:after="0" w:line="179"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Article VI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VI that shall not have been invalidated and to the fullest extent permitted by applicable law.</w:t>
      </w:r>
    </w:p>
    <w:p>
      <w:pPr>
        <w:spacing w:after="0" w:line="183" w:lineRule="exact"/>
        <w:rPr>
          <w:rFonts w:ascii="Times New Roman" w:cs="Times New Roman" w:eastAsia="Times New Roman" w:hAnsi="Times New Roman"/>
          <w:sz w:val="18"/>
          <w:szCs w:val="18"/>
          <w:color w:val="auto"/>
        </w:rPr>
      </w:pPr>
    </w:p>
    <w:p>
      <w:pPr>
        <w:ind w:firstLine="1000"/>
        <w:spacing w:after="0" w:line="282" w:lineRule="auto"/>
        <w:tabs>
          <w:tab w:leader="none" w:pos="12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Terms used herein and defined in Section 145(h) and Section 145(i) of the General Corporation Law of the State of Delaware shall have the respective meanings assigned to such terms in such Section 145(h) and Section 145(i).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Amended and Restated Certificate of Incorporation, in the manner now or hereafter prescribed by statute, and all rights conferred upon the stockholders herein are granted subject to this reservation.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10420"/>
        <w:spacing w:after="0"/>
        <w:rPr>
          <w:sz w:val="20"/>
          <w:szCs w:val="20"/>
          <w:color w:val="auto"/>
        </w:rPr>
      </w:pPr>
      <w:r>
        <w:rPr>
          <w:rFonts w:ascii="Times New Roman" w:cs="Times New Roman" w:eastAsia="Times New Roman" w:hAnsi="Times New Roman"/>
          <w:sz w:val="17"/>
          <w:szCs w:val="17"/>
          <w:b w:val="1"/>
          <w:bCs w:val="1"/>
          <w:i w:val="1"/>
          <w:iCs w:val="1"/>
          <w:color w:val="auto"/>
        </w:rPr>
        <w:t>Exhibit 3.1</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executed on May 11,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Kezar Life Sciences,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Belsky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Marc Belsky</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KEZAR LIFE 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OFFICES</w:t>
      </w:r>
    </w:p>
    <w:p>
      <w:pPr>
        <w:spacing w:after="0" w:line="207"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Kezar Life Sciences,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Certificate of Incorporation of the Corporation (as may be amended or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an office or offices, and keep the books and records of the Corporation, except as otherwise required by law, at such other place or places, either within or without the State of Delaware, as the Corporation may from time to time determine or the business of the Corporation may require.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Unless directors are elected by written consent in lieu of an annual meeting, the annual meeting of stockholders, for the election of directors and for the transaction of such other business as may properly come before the meeting, shall be held at such place, if any, either within or without the State of Delaware, on such date, and at such time as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shall fix. The Board of Directors may postpone, reschedule or cancel any annual meeting of stockholders previously scheduled by the Board of Directors.</w:t>
      </w:r>
    </w:p>
    <w:p>
      <w:pPr>
        <w:spacing w:after="0" w:line="200" w:lineRule="exact"/>
        <w:rPr>
          <w:sz w:val="20"/>
          <w:szCs w:val="20"/>
          <w:color w:val="auto"/>
        </w:rPr>
      </w:pPr>
    </w:p>
    <w:p>
      <w:pPr>
        <w:spacing w:after="0" w:line="20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Except as otherwise required by law, and except as otherwise provided for or fixed pursuant to the Certificate of Incorporation, a special meeting of the stockholders of the Corporation: (i) may be called at any time by the Board of Directors; and (ii) shall be called by the Chairman of the Board of Directors or the Secretary of the Corporation upon the written request or requests of one or more stockholders of record that, at the time a request is delivered, hold shares representing at least 10% of the voting power of the stock entitled to vote on the matter or matters to be brought before the proposed special meeting. Except as otherwise required by law, and except as otherwise provided for or fixed pursuant to the Certificate of Incorporation, special meetings of the stockholders of the Corporation may not be called by any other person or persons. Only such business shall be conducted at a special meeting of stockholders as shall have been brought before the meeting pursuant to the Corporation’s notice of meeting. If none of the stockholders who submitted the special meeting request (or their qualified representatives) appears at the special meeting to present the matter or matters to be brought before the special meeting that were specified in the special meeting request, the Corporation need not present the matter or matters for a vote at the meeting, notwithstanding that proxies in respect of such vote may have been received by the Corporation. The Board of Directors may postpone, reschedule or cancel any special meeting of stockholders previously scheduled pursuant to this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 w:name="page13"/>
    <w:bookmarkEnd w:id="12"/>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0" w:firstLine="1304"/>
        <w:spacing w:after="0" w:line="254" w:lineRule="auto"/>
        <w:tabs>
          <w:tab w:leader="none" w:pos="1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stockholders are required or permitted to take any action at a meeting, notice of the place, if any, date, and time of the meeting of stockholders, the record date for determining the stockholders entitled to vote at the meeting (if such date is different from the record date for determining the stockholders entitled to notice of the meeting), the means of remote communications, if any, by which stockholders and proxyholders may be deemed to be present in person and vote at such meeting and, if the meeting is to be held solely by means of remote communications, the means for accessing the list of stockholders contemplated by Section 2.5 of these Amended and Restated Bylaws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be given. The notice shall be given not less than 10 nor more than 60 days before the date on which the meeting is to be held, to each stockholder entitled to vote at such meeting as of the record date for determining the stockholders entitled to notice of the meeting, except as otherwise provided by law, the Certificate of Incorporation or these Bylaws. In the case of a special meeting, the purpose or purposes for which the meeting is called also shall be set forth in the notice.</w:t>
      </w:r>
    </w:p>
    <w:p>
      <w:pPr>
        <w:spacing w:after="0" w:line="191" w:lineRule="exact"/>
        <w:rPr>
          <w:rFonts w:ascii="Times New Roman" w:cs="Times New Roman" w:eastAsia="Times New Roman" w:hAnsi="Times New Roman"/>
          <w:sz w:val="18"/>
          <w:szCs w:val="18"/>
          <w:color w:val="auto"/>
        </w:rPr>
      </w:pPr>
    </w:p>
    <w:p>
      <w:pPr>
        <w:ind w:left="-40" w:firstLine="1304"/>
        <w:spacing w:after="0" w:line="253" w:lineRule="auto"/>
        <w:tabs>
          <w:tab w:leader="none" w:pos="18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to stockholders given by the Corporation may be given in writing directed to the stockholder’s mailing address (or by electronic transmission directed to the stockholder’s electronic mail address, as applicable) as it appears on the records of the Corporation and shall be given (i) if mailed, when the notice is deposited in the U.S.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If notice is given by electronic mail, such notice shall comply with the applicable provisions of subsections (a) and (d) of Section 232 of the DGCL and must include a prominent legend that the communication is an important notice regarding the Corporation. If a notice given by electronic mail includes a file attached thereto or references information hyperlinked to a website, the electronic mail shall include the contact information of an agent or officer of the Corporation who is available to assist with accessing such files and information. If a notice given by electronic mail includes a file attached thereto or references information hyperlinked to a website, the electronic mail shall include the contact information of an agent or officer of the Corporation who is available to assist with accessing such files and information.</w:t>
      </w:r>
    </w:p>
    <w:p>
      <w:pPr>
        <w:spacing w:after="0" w:line="189" w:lineRule="exact"/>
        <w:rPr>
          <w:rFonts w:ascii="Times New Roman" w:cs="Times New Roman" w:eastAsia="Times New Roman" w:hAnsi="Times New Roman"/>
          <w:sz w:val="18"/>
          <w:szCs w:val="18"/>
          <w:color w:val="auto"/>
        </w:rPr>
      </w:pPr>
    </w:p>
    <w:p>
      <w:pPr>
        <w:ind w:left="-40" w:right="280" w:firstLine="1304"/>
        <w:spacing w:after="0" w:line="282" w:lineRule="auto"/>
        <w:tabs>
          <w:tab w:leader="none" w:pos="18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may be given by other forms of electronic transmission with the consent of a stockholder in the manner permitted by Section 232(b) of the DGCL and shall be deemed given as provided therein.</w:t>
      </w:r>
    </w:p>
    <w:p>
      <w:pPr>
        <w:spacing w:after="0" w:line="161" w:lineRule="exact"/>
        <w:rPr>
          <w:rFonts w:ascii="Times New Roman" w:cs="Times New Roman" w:eastAsia="Times New Roman" w:hAnsi="Times New Roman"/>
          <w:sz w:val="18"/>
          <w:szCs w:val="18"/>
          <w:color w:val="auto"/>
        </w:rPr>
      </w:pPr>
    </w:p>
    <w:p>
      <w:pPr>
        <w:ind w:left="-40" w:right="180" w:firstLine="1304"/>
        <w:spacing w:after="0" w:line="266" w:lineRule="auto"/>
        <w:tabs>
          <w:tab w:leader="none" w:pos="18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affidavit that notice has been given, executed by the Secretary of the Corporation, Assistant Secretary or any transfer agent or other agent of the Corporation, shall be prima facie evidence of the facts stated in the notice in the absence of fraud. Notice shall be deemed to have been given to all stockholders who share an address if notice is given in accordance with Section 233 of the DGCL.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13" w:name="page14"/>
    <w:bookmarkEnd w:id="13"/>
    <w:p>
      <w:pPr>
        <w:ind w:left="-40" w:right="60" w:firstLine="1304"/>
        <w:spacing w:after="0" w:line="255" w:lineRule="auto"/>
        <w:tabs>
          <w:tab w:leader="none" w:pos="19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 meeting is adjourned to another time or place, notice need not be given of the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7.5(a), and shall give notice of the adjourned meeting to each stockholder of record entitled to vote at such adjourned meeting as of the record date fixed for notice of such adjourned meeting.</w:t>
      </w:r>
    </w:p>
    <w:p>
      <w:pPr>
        <w:spacing w:after="0" w:line="189"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0" w:right="20" w:firstLine="1304"/>
        <w:spacing w:after="0" w:line="261" w:lineRule="auto"/>
        <w:tabs>
          <w:tab w:leader="none" w:pos="1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of Directors, meetings of stockholders shall be presided over by the Chairman of the Board of Directors, if any, or in his or her absence, by the Chief Executive Officer or, in his or her absence, by another person designated by the Board of Directors. The Secretary of the Corporation, or in his or her absence, an Assistant Secretary, or in the absence of the Secretary and all Assistant Secretaries, a person whom the chairman of the meeting shall appoint, shall act as secretary of the meeting and keep a record of the proceedings thereof.</w:t>
      </w:r>
    </w:p>
    <w:p>
      <w:pPr>
        <w:spacing w:after="0" w:line="179" w:lineRule="exact"/>
        <w:rPr>
          <w:rFonts w:ascii="Times New Roman" w:cs="Times New Roman" w:eastAsia="Times New Roman" w:hAnsi="Times New Roman"/>
          <w:sz w:val="18"/>
          <w:szCs w:val="18"/>
          <w:color w:val="auto"/>
        </w:rPr>
      </w:pPr>
    </w:p>
    <w:p>
      <w:pPr>
        <w:ind w:left="-40" w:firstLine="1304"/>
        <w:spacing w:after="0" w:line="252" w:lineRule="auto"/>
        <w:tabs>
          <w:tab w:leader="none" w:pos="1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Except to the extent inconsistent with such rules and regulations as adopted by the Board of Directors, the chairman of the meeting shall have the authority to adopt and enforce such rules and regulations for the conduct of any meeting of stockholders and the safety of those in attendance as, in the judgment of the chairman, are necessary, appropriate or convenient for the conduct of the meeting. Rules and regulations for the conduct of meetings of stockholders, whether adopted by the Board of Directors or by the chairman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chairman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 Directors, the chairman of the meeting may convene and, for any reason, from time to time, adjourn and/or recess any meeting of stockholders pursuant to Section 2.7. The chairman of the meeting, in addition to making any other determinations that may be appropriate to the conduct of the meeting, shall have the power to declare that a nomination or other business was not properly brought before the meeting if the facts warrant, and if such chairman should so declare, such nomination shall be disregarded or such other business shall not be transacted.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14" w:name="page15"/>
    <w:bookmarkEnd w:id="14"/>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List of Stockholders</w:t>
      </w:r>
      <w:r>
        <w:rPr>
          <w:rFonts w:ascii="Times New Roman" w:cs="Times New Roman" w:eastAsia="Times New Roman" w:hAnsi="Times New Roman"/>
          <w:sz w:val="18"/>
          <w:szCs w:val="18"/>
          <w:color w:val="auto"/>
        </w:rPr>
        <w:t xml:space="preserve">. The Corporation shall prepare, at least 10 days before every meeting of stockholders, a complete list of the stockholders entitled to vote at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record date for determining the stockholders entitled to vote is less than 10 days before the date of the meeting, the list shall reflect the stockholders entitled to vote as of the 10th day before the meeting date. Such list shall be arranged in alphabetical order and shall show the address of each stockholder and the number of shares registered in the name of each stockholder. Nothing in this Section 2.5 shall require the Corporation to include electronic mail addresses or other electronic contact information on such list. Such list shall be open to the examination of any stockholder for any purpose germane to the meeting at least 10 days prior to the meeting: (a)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required by law, the stock ledger shall be the only evidence as to who are the stockholders entitled to examine the list of stockholders required by this Section 2.5 or to vote in person or by proxy at any meeting of stockholders.</w:t>
      </w:r>
    </w:p>
    <w:p>
      <w:pPr>
        <w:spacing w:after="0" w:line="19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required by law, the Certificate of Incorporation or these Bylaws, at any meeting of stockholders, a majority of the voting power of the stock outstanding and entitled to vote at the meeting, present in person or represented by proxy, shall constitute a quorum for the transaction of business. If a quorum is not present or represented at any meeting of stockholders, then the chairman of the meeting, or a majority of the voting power of the stock present in person or represented by proxy at the meeting and entitled to vote thereon, shall have power to adjourn or recess the meeting from time to time in accordance with Section 2.7, until 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192"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Adjourned or Recessed Meeting</w:t>
      </w:r>
      <w:r>
        <w:rPr>
          <w:rFonts w:ascii="Times New Roman" w:cs="Times New Roman" w:eastAsia="Times New Roman" w:hAnsi="Times New Roman"/>
          <w:sz w:val="18"/>
          <w:szCs w:val="18"/>
          <w:color w:val="auto"/>
        </w:rPr>
        <w:t>. Any annual or special meeting of stockholders, whether or not a quorum is present, may be adjourned or recessed for any or no reason from time to time by the chairman of the meeting, subject to any rules and regulations adopted by the Board of Directors pursuant to Section 2.4(b). Any such meeting may be adjourned for any or no reason (and may be recessed if a quorum is not present or represented) from time to time by a majority of the voting power of the stock present in person or represented by proxy at the meeting and entitled to vote thereon. At any such adjourned or recessed meeting at which a quorum is present, any business may be transacted that might have been transacted at the meeting as originally called.</w:t>
      </w: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20" w:firstLine="1304"/>
        <w:spacing w:after="0" w:line="266" w:lineRule="auto"/>
        <w:tabs>
          <w:tab w:leader="none" w:pos="19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or the Certificate of Incorporation, each holder of stock of the Corporation entitled to vote at any meeting of stockholders shall be entitled to one vote for each share of such stock held of record by such holder that has voting power upon the subject matter in question.</w:t>
      </w:r>
    </w:p>
    <w:p>
      <w:pPr>
        <w:spacing w:after="0" w:line="175" w:lineRule="exact"/>
        <w:rPr>
          <w:rFonts w:ascii="Times New Roman" w:cs="Times New Roman" w:eastAsia="Times New Roman" w:hAnsi="Times New Roman"/>
          <w:sz w:val="18"/>
          <w:szCs w:val="18"/>
          <w:color w:val="auto"/>
        </w:rPr>
      </w:pPr>
    </w:p>
    <w:p>
      <w:pPr>
        <w:ind w:firstLine="1304"/>
        <w:spacing w:after="0" w:line="261" w:lineRule="auto"/>
        <w:tabs>
          <w:tab w:leader="none" w:pos="1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the Certificate of Incorporation, these Bylaws or any law, rule or regulation applicable to the Corporation or its securities, at each meeting of stockholders at which a quorum is present, all corporate actions to be taken by vote of the stockholders shall be authorized by the affirmative vote of at least a majority of the voting power of the stock present in person or represented by proxy and entitled to vote on the subject matter. Voting at meetings of stockholders need not be by written ballot.</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Every stockholder entitled to vote for directors, or on any other matter, shall have the right to do so either in person or by one or more persons authorized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executed new proxy bearing a later date.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Except as otherwise provided for or fixed pursuant to the Certificate of Incorporation, any action required or permitted to be taken at any annual or special meeting of stockholders of the Corporation may be taken without a meeting, without prior notice and without a vote by consent in accordance with Section 228 of the DGCL.</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Meetings by Remote Communications</w:t>
      </w:r>
      <w:r>
        <w:rPr>
          <w:rFonts w:ascii="Times New Roman" w:cs="Times New Roman" w:eastAsia="Times New Roman" w:hAnsi="Times New Roman"/>
          <w:sz w:val="18"/>
          <w:szCs w:val="18"/>
          <w:color w:val="auto"/>
        </w:rPr>
        <w:t>. The Board of Directors may, in its sole discretion, determine that a meeting of stockholders shall not be held at any place, but may instead be held solely by means of remote communication in accordance with Section 211(a)(2) of the DGCL. If authorized by the Board of Directors in its sole discretion, and subject to such guidelines and procedures as the Board of Directors may adopt,</w:t>
      </w:r>
    </w:p>
    <w:p>
      <w:pPr>
        <w:spacing w:after="0" w:line="1"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color w:val="auto"/>
        </w:rPr>
        <w:t xml:space="preserve">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6" w:name="page17"/>
    <w:bookmarkEnd w:id="16"/>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Except as otherwise required by the DGCL or as provided in the Certificate of Incorporation, the business and affairs of the Corporation shall be managed by or under the direction of the Board of Directors. In addition to the powers and authorities these Bylaws expressly confer upon it, the Board of Directors may exercise all such powers of the Corporation and do all such lawful acts and things as are not by law, the Certificate of Incorporation or these Bylaws required to be exercised or done by the stockholders.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Term of Office and Election</w:t>
      </w:r>
      <w:r>
        <w:rPr>
          <w:rFonts w:ascii="Times New Roman" w:cs="Times New Roman" w:eastAsia="Times New Roman" w:hAnsi="Times New Roman"/>
          <w:sz w:val="18"/>
          <w:szCs w:val="18"/>
          <w:color w:val="auto"/>
        </w:rPr>
        <w:t>. Except as otherwise provided for or fixed pursuant to the Certificate of Incorporation, the Board of Directors shall consist of such number of directors as shall be determined from time to time solely by resolution adopted by the affirmative vote of a majority of the total number of directors then authorized (hereinafter referred to as the “</w:t>
      </w:r>
      <w:r>
        <w:rPr>
          <w:rFonts w:ascii="Times New Roman" w:cs="Times New Roman" w:eastAsia="Times New Roman" w:hAnsi="Times New Roman"/>
          <w:sz w:val="18"/>
          <w:szCs w:val="18"/>
          <w:u w:val="single" w:color="auto"/>
          <w:color w:val="auto"/>
        </w:rPr>
        <w:t>Whole Board</w:t>
      </w:r>
      <w:r>
        <w:rPr>
          <w:rFonts w:ascii="Times New Roman" w:cs="Times New Roman" w:eastAsia="Times New Roman" w:hAnsi="Times New Roman"/>
          <w:sz w:val="18"/>
          <w:szCs w:val="18"/>
          <w:color w:val="auto"/>
        </w:rPr>
        <w:t>”). The number of directors constituting the first Board of Directors shall be equal to the number of directors that are elected by the incorporator or designated in the Certificate of Incorporation. The first Board of Directors shall consist of the person or persons elected by the incorporator or designated in the Certificate of Incorporation. At any meeting of stockholders at which directors are to be elected, directors shall be elected by a plurality of the votes cast. Each director shall hold office until the next election of directors and until his or her successor shall have been duly elected and qualified. Directors need not be stockholders unless so required by the Certificate of Incorporation or these Bylaws, wherein other qualifications for directors may be prescribed.</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Unless otherwise required by law, newly created directorships resulting from any increase in the authorized number of directors and any vacancies in the Board of Directors resulting from death, resignation, retirement, disqualification, removal from office or other cause may be filled by the affirmative vote of a majority of the remaining directors then in office, even though less than a quorum, or by the sole remaining director, and any director so chosen shall hold office until the next election of directors and until his or her successor shall have been duly elected and qualified. No decrease in the authorized number of directors shall shorten the term of any incumbent director.</w:t>
      </w:r>
    </w:p>
    <w:p>
      <w:pPr>
        <w:spacing w:after="0" w:line="18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u w:val="single" w:color="auto"/>
          <w:color w:val="auto"/>
        </w:rPr>
        <w:t>Resignations and Removal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4"/>
        <w:spacing w:after="0" w:line="261" w:lineRule="auto"/>
        <w:tabs>
          <w:tab w:leader="none" w:pos="19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Board of Directors, the Chairman of the Board of Directors or the Secretary of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7" w:name="page18"/>
    <w:bookmarkEnd w:id="17"/>
    <w:p>
      <w:pPr>
        <w:ind w:right="460" w:firstLine="1304"/>
        <w:spacing w:after="0" w:line="282" w:lineRule="auto"/>
        <w:tabs>
          <w:tab w:leader="none" w:pos="1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the entire Board of Directors, may be removed, with or without cause, by the affirmative vote of at least a majority of the voting power of the stock outstanding and entitled to vote thereon.</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shall be held at such place or places, within or without the State of Delaware, on such date or dates and at such time or times, as shall have been established by the Board of Directors and publicized among all directors. A notice of each regular meeting shall not be required.</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for any purpose or purposes may be called at any time by the Chairman of the Board of Directors, the Chief Executive Officer or a majority of the directors then in office. The person or persons authorized to call special meetings of the Board of Directors may fix the place, within or without the State of Delaware, date and time of such meetings. Notice of each such meeting shall be given to each director, if by mail, addressed to such director at his or her residence or usual place of business, at least five days before the day on which such meeting is to be held, or shall be sent to such director by electronic transmission, or be delivered personally or by telephone, in each case at least 24 hours prior to the time set for such meeting. A notice of special meeting need not state the purpose of such meeting, and, unless indicated in the notice thereof, any and all business may be transacted at a special meeting.</w:t>
      </w:r>
    </w:p>
    <w:p>
      <w:pPr>
        <w:spacing w:after="0" w:line="189"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Participation in Meetings by Conference Telephone</w:t>
      </w:r>
      <w:r>
        <w:rPr>
          <w:rFonts w:ascii="Times New Roman" w:cs="Times New Roman" w:eastAsia="Times New Roman" w:hAnsi="Times New Roman"/>
          <w:sz w:val="18"/>
          <w:szCs w:val="18"/>
          <w:color w:val="auto"/>
        </w:rPr>
        <w:t>. 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Except as otherwise required by law, the Certificate of Incorporation or these Bylaws, a majority of the Whole Board shall constitute a quorum for the transaction of business at any meeting of the Board of Directors, and the vote of a majority of the directors present at a duly held meeting at which a quorum is present shall be the act of the Board of Directors. The chairman of the meeting or a majority of the directors present may adjourn the meeting to another time and place whether or not a quorum is present. At any adjourned meeting at which a quorum is present, any business may be transacted which might have been transacted at the meeting as originally called.</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Board of Directors Action by Written Consent Without a Meeting</w:t>
      </w:r>
      <w:r>
        <w:rPr>
          <w:rFonts w:ascii="Times New Roman" w:cs="Times New Roman" w:eastAsia="Times New Roman" w:hAnsi="Times New Roman"/>
          <w:sz w:val="18"/>
          <w:szCs w:val="18"/>
          <w:color w:val="auto"/>
        </w:rPr>
        <w:t xml:space="preserve">. Unless otherwise restricted by the Certificate of Incorporation or these Bylaws, any action required or permitted to be taken at any meeting of the Board of Directors, or any committee thereof, may be taken without a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members of the Board of Directors or committee, as the case may be, consent in writing or by electronic transmission to such action. After an action is taken, the consent or consents relating thereto shall be filed with the minutes or proceedings of the Board of Directors or committee in the same paper or electronic form as the minutes are maintained.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shall preside at meetings of stockholders (unless otherwise determined by the Board of Directors) and at meetings of directors, and shall perform such other duties as the Board of Directors may from time to time determine. If the Chairman of the Board is not present at a meeting of the Board of Directors, another director chosen by the Board of Directors shall preside.</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The Board of Directors shall adopt such rules and regulations not inconsistent with the provisions of law, the Certificate of Incorporation or these Bylaws for the conduct of its meetings and management of the affairs of the Corporation as the Board of Directors shall deem proper.</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 Unless otherwise restricted by the Certificate of Incorporation, directors may receive such compensation, if any, for their services on the Board of Directors and its committees, and such reimbursement of expenses, as may be fixed or determined by resolution of the Board of Directors.</w:t>
      </w:r>
    </w:p>
    <w:p>
      <w:pPr>
        <w:spacing w:after="0" w:line="176" w:lineRule="exact"/>
        <w:rPr>
          <w:sz w:val="20"/>
          <w:szCs w:val="20"/>
          <w:color w:val="auto"/>
        </w:rPr>
      </w:pPr>
    </w:p>
    <w:p>
      <w:pPr>
        <w:ind w:right="5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This Section 3.13 shall be operative during any emergency condition as contemplated by Section 110 of the DGCL (an “</w:t>
      </w:r>
      <w:r>
        <w:rPr>
          <w:rFonts w:ascii="Times New Roman" w:cs="Times New Roman" w:eastAsia="Times New Roman" w:hAnsi="Times New Roman"/>
          <w:sz w:val="18"/>
          <w:szCs w:val="18"/>
          <w:u w:val="single" w:color="auto"/>
          <w:color w:val="auto"/>
        </w:rPr>
        <w:t>Emergency</w:t>
      </w:r>
      <w:r>
        <w:rPr>
          <w:rFonts w:ascii="Times New Roman" w:cs="Times New Roman" w:eastAsia="Times New Roman" w:hAnsi="Times New Roman"/>
          <w:sz w:val="18"/>
          <w:szCs w:val="18"/>
          <w:color w:val="auto"/>
        </w:rPr>
        <w:t>”), notwithstanding any different or conflicting provisions in these Bylaws, the Certificate of Incorporation or the DGCL. In the event of any Emergency, or other similar emergency condition, the director or directors in attendance at a meeting of the Board of Directors or a standing committee thereof shall constitute a quorum. Such director or directors in attendance may further take action to appoint one or more of themselves or other directors to membership on any standing or temporary committees of the Board of Directors as they shall deem necessary and appropriate. Except as the Board of Directors may otherwise determine, during any Emergency, the Corporation and its directors and officers, may exercise any authority and take any action or measure contemplated by Section 110 of the DGCL.</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Committees of the Board of Directors</w:t>
      </w:r>
      <w:r>
        <w:rPr>
          <w:rFonts w:ascii="Times New Roman" w:cs="Times New Roman" w:eastAsia="Times New Roman" w:hAnsi="Times New Roman"/>
          <w:sz w:val="18"/>
          <w:szCs w:val="18"/>
          <w:color w:val="auto"/>
        </w:rPr>
        <w:t>. The Board of Directors may designate one or more committees, 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permitted by law and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Meetings and Action of Committees</w:t>
      </w:r>
      <w:r>
        <w:rPr>
          <w:rFonts w:ascii="Times New Roman" w:cs="Times New Roman" w:eastAsia="Times New Roman" w:hAnsi="Times New Roman"/>
          <w:sz w:val="18"/>
          <w:szCs w:val="18"/>
          <w:color w:val="auto"/>
        </w:rPr>
        <w:t xml:space="preserve">. Unless the Board of Directors provides otherwise by resolution, any committee of the Board of Directors may adopt, alter and repeal such rules and regulations not inconsistent with the provisions of law, the Certificate of Incorporation or these Bylaws for the conduct of its meetings as such committee may deem proper. A majority of the directors then serving on a committee shall constitute a quorum for the transaction of business by the committee except as otherwise required by law, the Certificate of Incorporation or these Bylaws, and except as otherwise provided in a resolution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a quorum be less than one-third of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7"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The officers of the Corporation shall consist of a Chief Executive Officer, a Secretary and such other officers as the Board of Directors may from time to time determine, each of whom shall be elected by the Board of Directors, each to have such authority, functions or duties as set forth in these Bylaws or as determined by the Board of Directors. Each officer shall be elected by the Board of Directors and shall hold office for such term as may be prescribed by the Board of Directors and until such person’s successor shall have been duly elected and qualified, or until such person’s earlier death, disqualification, resignation or removal. Any number of offices may be held by the same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officer shall execute, acknowledge or verify any instrument in more than one capacity if such instrument is required by law, the Certificate of Incorporation or these Bylaws to be executed, acknowledged or verified by two or more officers. The Board of Directors may require any officer, agent or employee to give security for the faithful performance of his or her duties.</w:t>
      </w:r>
    </w:p>
    <w:p>
      <w:pPr>
        <w:spacing w:after="0" w:line="19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salaries of the officers of the Corporation and the manner and time of the payment of such salaries shall be fixed and determined by the Board of Directors (or by a duly authorized officer) and may be altered by the Board of Directors from time to time as it deems appropriate, subject to the rights, if any, of such officers under any contract of employment.</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Removal, Resignation and Vacancies</w:t>
      </w:r>
      <w:r>
        <w:rPr>
          <w:rFonts w:ascii="Times New Roman" w:cs="Times New Roman" w:eastAsia="Times New Roman" w:hAnsi="Times New Roman"/>
          <w:sz w:val="18"/>
          <w:szCs w:val="18"/>
          <w:color w:val="auto"/>
        </w:rPr>
        <w:t>. Any officer of the Corporation may be removed, with or without cause, by the Board of Directors or by a duly authorized officer, without prejudice to the rights, if any, of such officer under any contract to which it is a party. Any officer may resign at any time upon notice given in writing or by electronic transmission to the Corporation, without prejudice to the rights, if any, of the Corporation under any contract to which such officer is a party. If any vacancy occurs in any office of the Corporation, the Board of Directors may elect a successor to fill such vacancy for the remainder of the unexpired term and until a successor shall have been duly elected and qualified.</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have general supervision and direction of the business and affairs of the Corporation, shall be responsible for corporate policy and strategy, and shall report directly to the Board of Directors. Unless otherwise provided in these Bylaws or determined by the Board of Directors,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Chief Operating Officer</w:t>
      </w:r>
      <w:r>
        <w:rPr>
          <w:rFonts w:ascii="Times New Roman" w:cs="Times New Roman" w:eastAsia="Times New Roman" w:hAnsi="Times New Roman"/>
          <w:sz w:val="18"/>
          <w:szCs w:val="18"/>
          <w:color w:val="auto"/>
        </w:rPr>
        <w:t>. The Chief Operating Officer shall have general responsibility for the management and control of the operations of the Corporation. The Chief Operating Officer shall, when requested, counsel with and advise the other officers of the Corporation and shall perform such other duties as the Board of Directors or the Chief Executive Officer may from time to time determine.</w:t>
      </w:r>
    </w:p>
    <w:p>
      <w:pPr>
        <w:spacing w:after="0" w:line="176"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Board of Directors or the Chief Executive Officer may from time to time determine.</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Each Vice President shall have such powers and duties as shall be prescribed by his or her superior officer or the Chief Executive Officer. A Vice President shall, when requested, counsel with and advise the other officers of the Corporation and shall perform such other duties as the Board of Directors, the Chief Executive Officer or another duly authorized officer may from time to time determine.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supervise and be responsible for all the funds and securities of the Corporation, the deposit of all monies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Board of Directors, the Chief Executive Officer, the Chief Operating Officer or the Chief Financial Officer may from time to time determine.</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be the chief accounting officer of the Corporation. The Controller shall, when requested, counsel with and advise the other officers of the Corporation and shall perform such other duties as the Board of Directors, the Chief Executive Officer, the Chief Operating Officer, the Chief Financial Officer or the Treasurer may from time to time determine.</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powers and duties of the Secretary are: (i) to act as Secretary at all meetings of the Board of Directors, of the committees of the Board of Directors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Board of Directors or the Chief Executive Officer may from time to time determine.</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 The Chief Executive Officer and the Chief Financial Officer of the Corporation shall have the authority to designate employees of the Corporation to have the title of Vice President,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Checks; Drafts; Evidences of Indebtedness</w:t>
      </w:r>
      <w:r>
        <w:rPr>
          <w:rFonts w:ascii="Times New Roman" w:cs="Times New Roman" w:eastAsia="Times New Roman" w:hAnsi="Times New Roman"/>
          <w:sz w:val="18"/>
          <w:szCs w:val="18"/>
          <w:color w:val="auto"/>
        </w:rPr>
        <w:t>. From time to time, the Board of Directors shall determine the method, and designate (or authorize officers of the Corporation to designate) the person or persons who shall have authority, to sign or endorse all checks, drafts, other orders for payment of money and notes, bonds, debentures or other evidences of indebtedness that are issued in the name of or payable by the Corporation, and only the persons so authorized shall sign or endorse such instruments.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Corporate Contracts and Instruments; How Executed</w:t>
      </w:r>
      <w:r>
        <w:rPr>
          <w:rFonts w:ascii="Times New Roman" w:cs="Times New Roman" w:eastAsia="Times New Roman" w:hAnsi="Times New Roman"/>
          <w:sz w:val="18"/>
          <w:szCs w:val="18"/>
          <w:color w:val="auto"/>
        </w:rPr>
        <w:t>. Except as otherwise provided in these Bylaws, the Board of Directors may determine the method, and designate (or authorize officers of the Corporation to designate) the person or persons who shall have authority to enter into any contract or execute any instrument in the name of and on behalf of the Corporation. Such authority may be general or confined to specific instances. Unless so</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authorized, or within the power incident to a person’s office or other position with the Corporation, no person shall have any power or authority to bind the Corporation by any contract or engagement or to pledge its credit or to render it liable for any purpose or for any amount.</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Signature Authority</w:t>
      </w:r>
      <w:r>
        <w:rPr>
          <w:rFonts w:ascii="Times New Roman" w:cs="Times New Roman" w:eastAsia="Times New Roman" w:hAnsi="Times New Roman"/>
          <w:sz w:val="18"/>
          <w:szCs w:val="18"/>
          <w:color w:val="auto"/>
        </w:rPr>
        <w:t>. Unless otherwise determined by the Board of Directors or otherwise provided by law or these Bylaws, contracts, evidences of indebtedness and other instruments or documents of the Corporation may be executed, signed or endorsed: (i) by the Chief Executive Officer or the Chief Operating Officer; or (ii) by the Chief Financial Officer, any Vice President, Treasurer, Secretary or Controller, in each case only with regard to such instruments or documents that pertain to or relate to such person’s duties or business functions.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Action with Respect to Securities of Other Corporations or Entities</w:t>
      </w:r>
      <w:r>
        <w:rPr>
          <w:rFonts w:ascii="Times New Roman" w:cs="Times New Roman" w:eastAsia="Times New Roman" w:hAnsi="Times New Roman"/>
          <w:sz w:val="18"/>
          <w:szCs w:val="18"/>
          <w:color w:val="auto"/>
        </w:rPr>
        <w:t>. The Chief Executive Officer or any other officer of the Corporation authorized by the Board of Directors or the Chief Executive Officer is authorized to vote, represent, and exercise on behalf of the Corporation all rights incident to any and all shares or other equity interests of any other corporation or entity, or corporations or entities,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The Board of Directors may from time to time delegate the powers or duties of any officer to any other officers or agents, notwithstanding the foregoing provisions of this Article V.</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20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u w:val="single" w:color="auto"/>
          <w:color w:val="auto"/>
        </w:rPr>
        <w:t>Right to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2" w:lineRule="auto"/>
        <w:tabs>
          <w:tab w:leader="none" w:pos="19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was or is a party or is threatened to be made a party to, or was or is otherwise involved in, any action, suit, arbitration, alternative dispute resolution mechanism, investigation, inquiry, judicial, administrative or legislative hearing, or any other threatened, pending or completed proceeding, whether brought by or in the right of the Corporation or otherwise, including any and all appeals, whether of a civil, criminal, administrative, legislative, investigative or other nature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or by reason of anything done or not done by him or her in any such capacity, shall be indemnified and held harmless by the Corporation to the fullest extent authorized by the DGCL, as the same exists or may hereafter be amended, against all expense, liability and loss (including attorneys’ fees, judgments, fines, ERISA excise taxes, penalties and amounts paid in settlement by or on behalf of the indemnitee) actually and reasonably incurred by such indemnitee in connection therewith, all on the terms and conditions set forth in these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or provided in Section 6.4 with respect to suits to enforce rights under this Article VI, the Corporation shall indemnify any such indemnitee in connection with a proceeding, or part thereof, voluntarily initiated by such indemnitee (including claims and counterclaims, whether such counterclaims are asserted by: (i) such indemnitee; or (ii) the Corporation in a proceeding initiated by such indemnitee) only if such proceeding, or part thereof, was authorized or ratified by the Board of Directors or the Board of Directors otherwise determines that indemnification or advancement of expenses is appropriate.</w:t>
      </w: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ind w:left="-8" w:firstLine="1304"/>
        <w:spacing w:after="0" w:line="268" w:lineRule="auto"/>
        <w:tabs>
          <w:tab w:leader="none" w:pos="194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receive indemnification under this Article VI, an indemnitee shall submit a written request to the Secretary of the Corporation. Such request shall include documentation or information that is necessary to determine the entitlement of the indemnitee to indemnification and that is reasonably available to the indemnitee. Upon receipt by the Secretary of the Corporation of such a written request, unless indemnification is required by Section 6.3, the entitlement of the indemnitee to indemnification shall be determined by the following person or persons who shall be empowered to make such determination, as selected by the Board of Directors (except with respect to clause (v) of this Section 6.1(b)): (i) the Board of Directors by a majority vote of the directors who are not parties to such proceeding, whether or not such majority constitutes a quorum; (ii) a committee of such directors designated by a majority vote of such directors, whether or not such majority constitutes a quorum; (iii) if there are no such directors, or if such directors so direct, by independent legal counsel in a written opinion to the Board of Directors, a copy of which shall be delivered to the indemnitee;</w:t>
      </w:r>
    </w:p>
    <w:p>
      <w:pPr>
        <w:ind w:left="-8" w:firstLine="8"/>
        <w:spacing w:after="0" w:line="251" w:lineRule="auto"/>
        <w:tabs>
          <w:tab w:leader="none" w:pos="2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or (v) in the event that a change of control (as defined below) has occurred, by independent legal counsel in a written opinion to the Board of Directors, a copy of which shall be delivered to the indemnitee. The determination of entitlement to indemnification shall be made and, unless a contrary determination is made, such indemnification shall be paid in full by the Corporation not later than 60 days after receipt by the Secretary of the Corporation of a written request for indemnification. For purposes of this Section 6.1(b), 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will be deemed to have occurred if, with respect to any particular 24-month period, the individuals who, at the beginning of such 24-month period, constituted the Board of Directors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beginning of such 24-month period whose election, or nomination for election by the stockholders of the Corporation,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w:t>
      </w:r>
    </w:p>
    <w:p>
      <w:pPr>
        <w:spacing w:after="0" w:line="192" w:lineRule="exact"/>
        <w:rPr>
          <w:sz w:val="20"/>
          <w:szCs w:val="20"/>
          <w:color w:val="auto"/>
        </w:rPr>
      </w:pPr>
    </w:p>
    <w:p>
      <w:pPr>
        <w:ind w:left="652"/>
        <w:spacing w:after="0"/>
        <w:tabs>
          <w:tab w:leader="none" w:pos="1892"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u w:val="single" w:color="auto"/>
          <w:color w:val="auto"/>
        </w:rPr>
        <w:t>Right to Advancement of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8" w:right="160" w:firstLine="1304"/>
        <w:spacing w:after="0" w:line="256" w:lineRule="auto"/>
        <w:tabs>
          <w:tab w:leader="none" w:pos="19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right to indemnification conferred in Section 6.1, an indemnitee shall, to the fullest extent permitted by law, also have the right to be paid by the Corporation the expenses (including attorneys’ fees) incurred in defending any proceeding in advance of its final disposition (hereinafter an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advancement of expenses shall be made only upon delivery to the Corporation of an undertaking (hereinafter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of a court of competent jurisdiction from which there is no further right to appeal (hereinafter a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adjudication</w:t>
      </w:r>
      <w:r>
        <w:rPr>
          <w:rFonts w:ascii="Times New Roman" w:cs="Times New Roman" w:eastAsia="Times New Roman" w:hAnsi="Times New Roman"/>
          <w:sz w:val="18"/>
          <w:szCs w:val="18"/>
          <w:color w:val="auto"/>
        </w:rPr>
        <w:t>”) that such indemnitee is not entitled to be indemnified for such expenses under this Article VI or otherwise.</w:t>
      </w:r>
    </w:p>
    <w:p>
      <w:pPr>
        <w:spacing w:after="0" w:line="187" w:lineRule="exact"/>
        <w:rPr>
          <w:rFonts w:ascii="Times New Roman" w:cs="Times New Roman" w:eastAsia="Times New Roman" w:hAnsi="Times New Roman"/>
          <w:sz w:val="18"/>
          <w:szCs w:val="18"/>
          <w:color w:val="auto"/>
        </w:rPr>
      </w:pPr>
    </w:p>
    <w:p>
      <w:pPr>
        <w:jc w:val="both"/>
        <w:ind w:left="-8" w:right="80" w:firstLine="1304"/>
        <w:spacing w:after="0" w:line="261" w:lineRule="auto"/>
        <w:tabs>
          <w:tab w:leader="none" w:pos="19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 advancement of expenses under this Section 6.2, an indemnitee shall submit a written request to the Secretary of the Corporation. Such request shall reasonably evidence the expenses incurred by the indemnitee and shall include or be accompanied by the undertaking required by Section 6.2(a). Each such advancement of expenses shall be made within 20 days after the receipt by the Secretary of the Corporation of a written request for advancement of expenses.</w:t>
      </w:r>
    </w:p>
    <w:p>
      <w:pPr>
        <w:spacing w:after="0" w:line="35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21" w:right="439" w:bottom="1440" w:gutter="0" w:footer="0" w:header="0"/>
        </w:sectPr>
      </w:pPr>
    </w:p>
    <w:bookmarkStart w:id="24" w:name="page25"/>
    <w:bookmarkEnd w:id="24"/>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Indemnification for Successful Defense</w:t>
      </w:r>
      <w:r>
        <w:rPr>
          <w:rFonts w:ascii="Times New Roman" w:cs="Times New Roman" w:eastAsia="Times New Roman" w:hAnsi="Times New Roman"/>
          <w:sz w:val="18"/>
          <w:szCs w:val="18"/>
          <w:color w:val="auto"/>
        </w:rPr>
        <w:t>. To the extent that an indemnitee has been successful on the merits or otherwise in defense of any proceeding (or in defense of any claim, issue or matter therein), such indemnitee shall be indemnified under this Section 6.3 against expenses (including attorneys’ fees) actually and reasonably incurred in connection with such defense. Indemnification under this Section 6.3 shall not be subject to satisfaction of a standard of conduct, and the Corporation may not assert the failure to satisfy a standard of conduct as a basis to deny indemnification or recover amounts advanced, including in a suit brought pursuant to Section 6.4 (notwithstanding anything to the contrary therein).</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Right of Indemnitee to Bring Suit</w:t>
      </w:r>
      <w:r>
        <w:rPr>
          <w:rFonts w:ascii="Times New Roman" w:cs="Times New Roman" w:eastAsia="Times New Roman" w:hAnsi="Times New Roman"/>
          <w:sz w:val="18"/>
          <w:szCs w:val="18"/>
          <w:color w:val="auto"/>
        </w:rPr>
        <w:t>. In the event that a determination is made that the indemnitee is not entitled to indemnification or if payment is not timely made following a determination of entitlement to indemnification pursuant to Section 6.1(b), if a request for indemnification under Section 6.3 is not paid in full by the Corporation within 60 days after a written request has been received by the Secretary of the Corporation, or if an advancement of expenses is not timely made under Section 6.2(b), the indemnitee may at any time thereafter bring suit against the Corporation in a court of competent jurisdiction in the State of Delaware seeking an adjudication of entitlement to such indemnification or advancement of expenses. If successful in whole or in part in any such suit, or in a suit brought by the Corporation to recover an advancement of expenses pursuant to the terms of an undertaking, the indemnitee shall be entitled to be paid also the expense of prosecuting or defending such suit to the fullest extent permitted by law. In any suit brought by the indemnitee to enforce a right to indemnification hereunder (but not in a suit brought by the indemnitee to enforce a right to an advancement of expenses) it shall be a defense that the indemnitee has not met any applicable standard of conduct for indemnification set forth in Section 145(a) or Section 145(b) of the DGCL. Further, in any suit brought by the Corporation to recover an advancement of expenses pursuant to the terms of an undertaking, the Corporation shall be entitled to recover such expenses upon a final adjudication that the indemnitee has not met any applicable standard of conduct for indemnification set forth in Section 145(a) or Section 145(b) of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such applicable standard of conduct,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applicable law, this Article VI or otherwise shall be on the Corporation.</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the advancement of expenses conferred in this Article VI shall not be exclusive of any other right which any person may have or hereafter acquire under any law, agreement, vote of stockholders or disinterested directors, provisions of a certificate of incorporation or bylaws, or otherwise.</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Indemnification of Employees and Agents of the Corporation</w:t>
      </w:r>
      <w:r>
        <w:rPr>
          <w:rFonts w:ascii="Times New Roman" w:cs="Times New Roman" w:eastAsia="Times New Roman" w:hAnsi="Times New Roman"/>
          <w:sz w:val="18"/>
          <w:szCs w:val="18"/>
          <w:color w:val="auto"/>
        </w:rPr>
        <w:t>. The Corporation may, to the extent and in the manner permitted by law, and to the extent authorized from time to time, grant rights to indemnification and to the advancement of expenses to any employee or agent of the Corporation.</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Nature of Rights</w:t>
      </w:r>
      <w:r>
        <w:rPr>
          <w:rFonts w:ascii="Times New Roman" w:cs="Times New Roman" w:eastAsia="Times New Roman" w:hAnsi="Times New Roman"/>
          <w:sz w:val="18"/>
          <w:szCs w:val="18"/>
          <w:color w:val="auto"/>
        </w:rPr>
        <w:t>. The rights conferred upon indemnitees in this Article VI shall be contract rights and such rights shall continue as to an indemnitee who has ceased to be a director or officer and shall inure to the benefit of the indemnitee’s heirs, executors and administrators. Any amendment, alteration or repeal of this Article VI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Settlement of Claims</w:t>
      </w:r>
      <w:r>
        <w:rPr>
          <w:rFonts w:ascii="Times New Roman" w:cs="Times New Roman" w:eastAsia="Times New Roman" w:hAnsi="Times New Roman"/>
          <w:sz w:val="18"/>
          <w:szCs w:val="18"/>
          <w:color w:val="auto"/>
        </w:rPr>
        <w:t>. Notwithstanding anything in this Article VI to the contrary, the Corporation shall not be liable to indemnify any indemnitee under this Article VI for any amounts paid in settlement of any proceeding effected without the Corporation’s written consent, which consent shall not be unreasonably withheld.</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Article VI, the Corporation shall be subrogated to the extent of such payment to all of the rights of recovery of the indemnitee (excluding insurance obtained on the indemnitee’s own behalf), and the indemnitee shall execute all papers required and shall do everything that may be necessary to secure such rights, including the execution of such documents necessary to enable the Corporation effectively to bring suit to enforce such rights.</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Article VI shall be held to be invalid, illegal or unenforceable as applied to any person or entity or circumstance for any reason whatsoever, then, to the fullest extent permitted by law: (a) the validity, legality and enforceability of such provision in any other circumstance and of the remaining provisions of this Article VI (including, without limitation, all portions of any paragraph of this Article VI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unenforceable) shall be construed so as to give effect to the intent of the parties that the Corporation provide protection to the indemnitee to the fullest extent set forth in this Article VI.</w:t>
      </w: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The shares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including, without limitation, the Chief Executive Officer, the Chief Operating Officer, the Chief Financial Officer, the Treasurer, the Controller, the Secretary or an Assistant Treasurer or Assistant Secretary certifying the number of shares owned by such holder in the Corporation. Any or all such signatures may be facsimiles.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8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Transfers of Stock</w:t>
      </w:r>
      <w:r>
        <w:rPr>
          <w:rFonts w:ascii="Times New Roman" w:cs="Times New Roman" w:eastAsia="Times New Roman" w:hAnsi="Times New Roman"/>
          <w:sz w:val="18"/>
          <w:szCs w:val="18"/>
          <w:color w:val="auto"/>
        </w:rPr>
        <w:t xml:space="preserve">. Transfers of shares of stock of the Corporation shall be made only on the books of the Corporation upon authorization by the registered holder thereof or by such holder’s attorney thereunto authorized by a power of attorney duly executed and filed with the Secretary of the Corporation or a transfer agent for such stock, and if such shares are represented by a certificate, upon surrender of the certificate or certificates for such shares properly endorsed or accompanied by a duly executed stock transfer power and the payment of any taxes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be entitled to recognize and enforce any lawful restriction on transfer.</w:t>
      </w:r>
    </w:p>
    <w:p>
      <w:pPr>
        <w:spacing w:after="0" w:line="183"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issue a new share certificate or uncertificated shares in the place of 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or uncertificated shares. The Board of Directors may adopt such other provisions and restrictions with reference to lost certificates, not inconsistent with applicable law, as it shall in its discretion deem appropriate.</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u w:val="single" w:color="auto"/>
          <w:color w:val="auto"/>
        </w:rPr>
        <w:t>Record Date for Determining Stockholders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1304"/>
        <w:spacing w:after="0" w:line="253" w:lineRule="auto"/>
        <w:tabs>
          <w:tab w:leader="none" w:pos="19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adjourned meeting, the Board of Directors may fix a record date, which record date shall not precede the date upon which the resolution fixing the record date is adopted by the Board of Directors, and which record date shall, unless otherwise required by law,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9" w:lineRule="exact"/>
        <w:rPr>
          <w:rFonts w:ascii="Times New Roman" w:cs="Times New Roman" w:eastAsia="Times New Roman" w:hAnsi="Times New Roman"/>
          <w:sz w:val="18"/>
          <w:szCs w:val="18"/>
          <w:color w:val="auto"/>
        </w:rPr>
      </w:pPr>
    </w:p>
    <w:p>
      <w:pPr>
        <w:ind w:firstLine="1304"/>
        <w:spacing w:after="0" w:line="256" w:lineRule="auto"/>
        <w:tabs>
          <w:tab w:leader="none" w:pos="1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shall not be more than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7" w:lineRule="exact"/>
        <w:rPr>
          <w:rFonts w:ascii="Times New Roman" w:cs="Times New Roman" w:eastAsia="Times New Roman" w:hAnsi="Times New Roman"/>
          <w:sz w:val="18"/>
          <w:szCs w:val="18"/>
          <w:color w:val="auto"/>
        </w:rPr>
      </w:pPr>
    </w:p>
    <w:p>
      <w:pPr>
        <w:ind w:right="20" w:firstLine="1304"/>
        <w:spacing w:after="0" w:line="254" w:lineRule="auto"/>
        <w:tabs>
          <w:tab w:leader="none" w:pos="19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has been fixed by the Board of Directors, the record date for determining stockholders entitled to express consent to corporate action without a meeting, when no prior action of the Board of Directors is required by law, shall be the first date on which a signed consent setting forth the action taken or proposed to be taken was delivered to the Corporation in accordance with Section 2.10. If no record date has been fixed by the Board of Directors, the record date for determining stockholders entitled to express consent to corporate action without a meeting, if prior action by the Board of Directors is required by law, shall be at the close of business on the day on which the Board of Directors adopts the resolution taking such prior action.</w:t>
      </w:r>
    </w:p>
    <w:p>
      <w:pPr>
        <w:spacing w:after="0" w:line="18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To the extent permitted by applicable law, the Board of Directors may make such additional rules and regulations as it may deem expedient concerning the issue, transfer and registration of shares of stock of the Corporation.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 DGCL or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the Board of Directors or a committee of the Board of Directors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begin on the first day of January of each year and end on the last day of December of the same year, or shall extend for such other 12 consecutive months as the Board of Directors may designate.</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of Directors may provide a suitable seal, containing the name of the Corporation, which seal shall be in the charge of the Secretary of the Corporation. If and when so directed by the Board of Directors or a committee thereof, duplicates of the seal may be kept and used by the Treasurer or by an Assistant Secretary or Assistant Treasurer.</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and each member of any committee designated by the Board of Directors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Subject to Law and Certificate of Incorporation</w:t>
      </w:r>
      <w:r>
        <w:rPr>
          <w:rFonts w:ascii="Times New Roman" w:cs="Times New Roman" w:eastAsia="Times New Roman" w:hAnsi="Times New Roman"/>
          <w:sz w:val="18"/>
          <w:szCs w:val="18"/>
          <w:color w:val="auto"/>
        </w:rPr>
        <w:t>. All powers, duties and responsibilities provided for in these Bylaws, whether or not explicitly so qualified, are qualified by the Certificate of Incorporation and applicable law.</w:t>
      </w:r>
    </w:p>
    <w:p>
      <w:pPr>
        <w:spacing w:after="0" w:line="16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u w:val="single" w:color="auto"/>
          <w:color w:val="auto"/>
        </w:rPr>
        <w:t>Electronic Signatures, etc.</w:t>
      </w:r>
      <w:r>
        <w:rPr>
          <w:rFonts w:ascii="Times New Roman" w:cs="Times New Roman" w:eastAsia="Times New Roman" w:hAnsi="Times New Roman"/>
          <w:sz w:val="17"/>
          <w:szCs w:val="17"/>
          <w:color w:val="auto"/>
        </w:rPr>
        <w:t xml:space="preserve"> Except as otherwise required by the Certificate of Incorporation or these Bylaws,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 The terms “electronic mail,” “electronic mail address,” “electronic signature” and “electronic transmission” as used herein shall have the meanings ascribed thereto in the DGCL.</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In furtherance and not in limitation of the powers conferred by the laws of the State of Delaware, the Board of Directors is expressly authorized to adopt, amend or repeal these Bylaws. The stockholders may make additional Bylaws and may alter and repeal any Bylaws whether adopted by them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151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0900"/>
      </w:cols>
      <w:pgMar w:left="320" w:top="11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upperLetter"/>
      <w:start w:val="2"/>
    </w:lvl>
  </w:abstractNum>
  <w:abstractNum w:abstractNumId="4">
    <w:nsid w:val="7FDCC233"/>
    <w:multiLevelType w:val="hybridMultilevel"/>
    <w:lvl w:ilvl="0">
      <w:lvlJc w:val="left"/>
      <w:lvlText w:val="(%1)"/>
      <w:numFmt w:val="lowerLetter"/>
      <w:start w:val="4"/>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lowerRoman"/>
      <w:start w:val="1"/>
    </w:lvl>
    <w:lvl w:ilvl="1">
      <w:lvlJc w:val="left"/>
      <w:lvlText w:val="%2."/>
      <w:numFmt w:val="decimal"/>
      <w:start w:val="1"/>
    </w:lvl>
  </w:abstractNum>
  <w:abstractNum w:abstractNumId="8">
    <w:nsid w:val="4E6AFB66"/>
    <w:multiLevelType w:val="hybridMultilevel"/>
    <w:lvl w:ilvl="0">
      <w:lvlJc w:val="left"/>
      <w:lvlText w:val="(%1)"/>
      <w:numFmt w:val="lowerRoman"/>
      <w:start w:val="2"/>
    </w:lvl>
    <w:lvl w:ilvl="1">
      <w:lvlJc w:val="left"/>
      <w:lvlText w:val="%2"/>
      <w:numFmt w:val="decimal"/>
      <w:start w:val="1"/>
    </w:lvl>
  </w:abstractNum>
  <w:abstractNum w:abstractNumId="9">
    <w:nsid w:val="25E45D32"/>
    <w:multiLevelType w:val="hybridMultilevel"/>
    <w:lvl w:ilvl="0">
      <w:lvlJc w:val="left"/>
      <w:lvlText w:val="%1"/>
      <w:numFmt w:val="lowerRoman"/>
      <w:start w:val="1"/>
    </w:lvl>
    <w:lvl w:ilvl="1">
      <w:lvlJc w:val="left"/>
      <w:lvlText w:val="%2."/>
      <w:numFmt w:val="decimal"/>
      <w:start w:val="4"/>
    </w:lvl>
  </w:abstractNum>
  <w:abstractNum w:abstractNumId="10">
    <w:nsid w:val="519B500D"/>
    <w:multiLevelType w:val="hybridMultilevel"/>
    <w:lvl w:ilvl="0">
      <w:lvlJc w:val="left"/>
      <w:lvlText w:val="(%1)"/>
      <w:numFmt w:val="lowerRoman"/>
      <w:start w:val="2"/>
    </w:lvl>
    <w:lvl w:ilvl="1">
      <w:lvlJc w:val="left"/>
      <w:lvlText w:val="%2."/>
      <w:numFmt w:val="decimal"/>
      <w:start w:val="5"/>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5"/>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Roman"/>
      <w:start w:val="1"/>
    </w:lvl>
    <w:lvl w:ilvl="1">
      <w:lvlJc w:val="left"/>
      <w:lvlText w:val="(%2)"/>
      <w:numFmt w:val="lowerLetter"/>
      <w:start w:val="2"/>
    </w:lvl>
  </w:abstractNum>
  <w:abstractNum w:abstractNumId="21">
    <w:nsid w:val="2D1D5AE9"/>
    <w:multiLevelType w:val="hybridMultilevel"/>
    <w:lvl w:ilvl="0">
      <w:lvlJc w:val="left"/>
      <w:lvlText w:val="(%1)"/>
      <w:numFmt w:val="lowerRoman"/>
      <w:start w:val="4"/>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20" Type="http://schemas.openxmlformats.org/officeDocument/2006/relationships/hyperlink" Target="https://www.sec.gov/Archives/edgar/data/1645666/000119312526130486/d106892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2026-05-11T08:32:51Z</dcterms:created>
  <dcterms:modified xsi:type="dcterms:W3CDTF">2026-05-11T08:32:51Z</dcterms:modified>
</cp:coreProperties>
</file>